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9F" w:rsidRPr="00B135B8" w:rsidRDefault="0055089F" w:rsidP="003F1863">
      <w:pPr>
        <w:jc w:val="center"/>
        <w:rPr>
          <w:b/>
          <w:bCs/>
          <w:color w:val="002060"/>
          <w:sz w:val="32"/>
          <w:szCs w:val="24"/>
        </w:rPr>
      </w:pPr>
      <w:bookmarkStart w:id="0" w:name="_GoBack"/>
      <w:bookmarkEnd w:id="0"/>
      <w:r w:rsidRPr="00B135B8">
        <w:rPr>
          <w:b/>
          <w:bCs/>
          <w:color w:val="002060"/>
          <w:sz w:val="32"/>
          <w:szCs w:val="24"/>
        </w:rPr>
        <w:t>Responses to Reviewers</w:t>
      </w:r>
      <w:r w:rsidR="00DF5F8A" w:rsidRPr="00B135B8">
        <w:rPr>
          <w:b/>
          <w:bCs/>
          <w:color w:val="002060"/>
          <w:sz w:val="32"/>
          <w:szCs w:val="24"/>
        </w:rPr>
        <w:t xml:space="preserve">  (</w:t>
      </w:r>
      <w:r w:rsidR="008E2479">
        <w:rPr>
          <w:b/>
          <w:bCs/>
          <w:color w:val="002060"/>
          <w:sz w:val="32"/>
          <w:szCs w:val="24"/>
        </w:rPr>
        <w:t>required</w:t>
      </w:r>
      <w:r w:rsidR="00DF5F8A" w:rsidRPr="00B135B8">
        <w:rPr>
          <w:b/>
          <w:bCs/>
          <w:color w:val="002060"/>
          <w:sz w:val="32"/>
          <w:szCs w:val="24"/>
        </w:rPr>
        <w:t>)</w:t>
      </w:r>
    </w:p>
    <w:p w:rsidR="00E630F1" w:rsidRPr="00E630F1" w:rsidRDefault="00E630F1" w:rsidP="00E63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30F1">
        <w:rPr>
          <w:rFonts w:ascii="Times New Roman" w:hAnsi="Times New Roman" w:cs="Times New Roman"/>
          <w:sz w:val="28"/>
          <w:szCs w:val="28"/>
          <w:lang w:val="en-US"/>
        </w:rPr>
        <w:t>For every revised version, the authors will reply using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following</w:t>
      </w:r>
      <w:r w:rsidRPr="00E630F1">
        <w:rPr>
          <w:rFonts w:ascii="Times New Roman" w:hAnsi="Times New Roman" w:cs="Times New Roman"/>
          <w:sz w:val="28"/>
          <w:szCs w:val="28"/>
          <w:lang w:val="en-US"/>
        </w:rPr>
        <w:t xml:space="preserve"> tables </w:t>
      </w:r>
    </w:p>
    <w:p w:rsidR="00E630F1" w:rsidRPr="00E630F1" w:rsidRDefault="00E630F1" w:rsidP="00E63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30F1">
        <w:rPr>
          <w:rFonts w:ascii="Times New Roman" w:hAnsi="Times New Roman" w:cs="Times New Roman"/>
          <w:sz w:val="28"/>
          <w:szCs w:val="28"/>
          <w:lang w:val="en-US"/>
        </w:rPr>
        <w:t xml:space="preserve">They will upload them via the web or will send them by email. </w:t>
      </w:r>
    </w:p>
    <w:p w:rsidR="00DF5F8A" w:rsidRDefault="00E630F1" w:rsidP="00E63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30F1">
        <w:rPr>
          <w:rFonts w:ascii="Times New Roman" w:hAnsi="Times New Roman" w:cs="Times New Roman"/>
          <w:sz w:val="28"/>
          <w:szCs w:val="28"/>
          <w:lang w:val="en-US"/>
        </w:rPr>
        <w:t xml:space="preserve">Authors will have to make all the changes, modifications, additions, studies, corrections asked by the reviewers using the </w:t>
      </w:r>
      <w:r w:rsidR="005675F3">
        <w:rPr>
          <w:rFonts w:ascii="Times New Roman" w:hAnsi="Times New Roman" w:cs="Times New Roman"/>
          <w:sz w:val="28"/>
          <w:szCs w:val="28"/>
          <w:lang w:val="en-US"/>
        </w:rPr>
        <w:t xml:space="preserve">following forms. </w:t>
      </w:r>
      <w:r w:rsidRPr="00E630F1">
        <w:rPr>
          <w:rFonts w:ascii="Times New Roman" w:hAnsi="Times New Roman" w:cs="Times New Roman"/>
          <w:sz w:val="28"/>
          <w:szCs w:val="28"/>
          <w:lang w:val="en-US"/>
        </w:rPr>
        <w:t>Authors have to be fully complied with the reviewers' instructions. Before the publication, the three (or more than three) reviewers will check</w:t>
      </w:r>
      <w:r w:rsidR="005675F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630F1">
        <w:rPr>
          <w:rFonts w:ascii="Times New Roman" w:hAnsi="Times New Roman" w:cs="Times New Roman"/>
          <w:sz w:val="28"/>
          <w:szCs w:val="28"/>
          <w:lang w:val="en-US"/>
        </w:rPr>
        <w:t xml:space="preserve">  if the changes, modifications, additions, studies, corrections etc have been carried out. In this case, the paper will be published or will be rejected or a new round of peer review will start.</w:t>
      </w:r>
    </w:p>
    <w:p w:rsidR="00E630F1" w:rsidRPr="00C26524" w:rsidRDefault="00E630F1" w:rsidP="00E630F1">
      <w:pPr>
        <w:spacing w:after="0" w:line="240" w:lineRule="auto"/>
        <w:jc w:val="both"/>
        <w:rPr>
          <w:b/>
          <w:bCs/>
          <w:color w:val="002060"/>
          <w:sz w:val="24"/>
          <w:szCs w:val="24"/>
          <w:lang w:val="en-US"/>
        </w:rPr>
      </w:pPr>
    </w:p>
    <w:p w:rsidR="00EB1AB3" w:rsidRPr="00DA5112" w:rsidRDefault="00CB2617" w:rsidP="00EB1AB3">
      <w:pPr>
        <w:rPr>
          <w:b/>
          <w:bCs/>
        </w:rPr>
      </w:pPr>
      <w:r>
        <w:rPr>
          <w:b/>
          <w:bCs/>
        </w:rPr>
        <w:t>Reviewer #</w:t>
      </w:r>
      <w:r w:rsidR="00EB1AB3" w:rsidRPr="00DA5112">
        <w:rPr>
          <w:b/>
          <w:bCs/>
        </w:rPr>
        <w:t xml:space="preserve"> 1</w:t>
      </w:r>
    </w:p>
    <w:tbl>
      <w:tblPr>
        <w:tblStyle w:val="TableGrid"/>
        <w:tblW w:w="0" w:type="auto"/>
        <w:tblLook w:val="04A0"/>
      </w:tblPr>
      <w:tblGrid>
        <w:gridCol w:w="4553"/>
        <w:gridCol w:w="4553"/>
        <w:gridCol w:w="4554"/>
      </w:tblGrid>
      <w:tr w:rsidR="006A1464" w:rsidTr="6965FFC8">
        <w:trPr>
          <w:trHeight w:val="273"/>
        </w:trPr>
        <w:tc>
          <w:tcPr>
            <w:tcW w:w="4553" w:type="dxa"/>
            <w:shd w:val="clear" w:color="auto" w:fill="9CC2E5" w:themeFill="accent5" w:themeFillTint="99"/>
          </w:tcPr>
          <w:p w:rsidR="006A1464" w:rsidRPr="006A1464" w:rsidRDefault="00CB2617" w:rsidP="006A1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Reviewer's #</w:t>
            </w:r>
            <w:r w:rsidR="006A1464" w:rsidRPr="006A1464">
              <w:rPr>
                <w:b/>
                <w:bCs/>
              </w:rPr>
              <w:t>1 comment</w:t>
            </w:r>
          </w:p>
        </w:tc>
        <w:tc>
          <w:tcPr>
            <w:tcW w:w="4553" w:type="dxa"/>
            <w:shd w:val="clear" w:color="auto" w:fill="9CC2E5" w:themeFill="accent5" w:themeFillTint="99"/>
          </w:tcPr>
          <w:p w:rsidR="006A1464" w:rsidRPr="006A1464" w:rsidRDefault="006A1464" w:rsidP="006A1464">
            <w:pPr>
              <w:jc w:val="center"/>
              <w:rPr>
                <w:b/>
                <w:bCs/>
              </w:rPr>
            </w:pPr>
            <w:r w:rsidRPr="006A1464">
              <w:rPr>
                <w:b/>
                <w:bCs/>
              </w:rPr>
              <w:t>Authors response</w:t>
            </w:r>
          </w:p>
        </w:tc>
        <w:tc>
          <w:tcPr>
            <w:tcW w:w="4554" w:type="dxa"/>
            <w:shd w:val="clear" w:color="auto" w:fill="9CC2E5" w:themeFill="accent5" w:themeFillTint="99"/>
          </w:tcPr>
          <w:p w:rsidR="006A1464" w:rsidRPr="006A1464" w:rsidRDefault="006A1464" w:rsidP="006A1464">
            <w:pPr>
              <w:jc w:val="center"/>
              <w:rPr>
                <w:b/>
                <w:bCs/>
              </w:rPr>
            </w:pPr>
            <w:r w:rsidRPr="006A1464">
              <w:rPr>
                <w:b/>
                <w:bCs/>
              </w:rPr>
              <w:t>Action Taken</w:t>
            </w:r>
          </w:p>
        </w:tc>
      </w:tr>
      <w:tr w:rsidR="006A1464" w:rsidTr="6965FFC8">
        <w:trPr>
          <w:trHeight w:val="1061"/>
        </w:trPr>
        <w:tc>
          <w:tcPr>
            <w:tcW w:w="4553" w:type="dxa"/>
          </w:tcPr>
          <w:p w:rsidR="006A1464" w:rsidRDefault="006A1464" w:rsidP="00DC6F18">
            <w:r>
              <w:t>A first remark is that the references do not follow the WSEAS Format</w:t>
            </w:r>
            <w:r w:rsidR="00DC6F18">
              <w:t xml:space="preserve">. </w:t>
            </w:r>
            <w:r>
              <w:t>The references must be [1], [2], [3] etc</w:t>
            </w:r>
            <w:r w:rsidR="00DC6F18">
              <w:t xml:space="preserve"> </w:t>
            </w:r>
            <w:r>
              <w:t>and not (Author, Year)</w:t>
            </w:r>
            <w:r w:rsidR="00DC6F18">
              <w:t xml:space="preserve"> </w:t>
            </w:r>
            <w:r>
              <w:t>pay attention, please</w:t>
            </w:r>
          </w:p>
        </w:tc>
        <w:tc>
          <w:tcPr>
            <w:tcW w:w="4553" w:type="dxa"/>
          </w:tcPr>
          <w:p w:rsidR="006A1464" w:rsidRDefault="720C0EAE" w:rsidP="00EB1AB3">
            <w:r>
              <w:t>The references have been revised</w:t>
            </w:r>
            <w:r w:rsidR="0014184D">
              <w:t xml:space="preserve"> according to the </w:t>
            </w:r>
            <w:r w:rsidR="002265F5">
              <w:t xml:space="preserve">WSEAS </w:t>
            </w:r>
            <w:r w:rsidR="0014184D">
              <w:t>format</w:t>
            </w:r>
            <w:r>
              <w:t>.</w:t>
            </w:r>
          </w:p>
        </w:tc>
        <w:tc>
          <w:tcPr>
            <w:tcW w:w="4554" w:type="dxa"/>
          </w:tcPr>
          <w:p w:rsidR="006A1464" w:rsidRPr="00666C6F" w:rsidRDefault="00666C6F" w:rsidP="70B62DEE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Done</w:t>
            </w:r>
          </w:p>
        </w:tc>
      </w:tr>
      <w:tr w:rsidR="006A1464" w:rsidTr="6965FFC8">
        <w:trPr>
          <w:trHeight w:val="273"/>
        </w:trPr>
        <w:tc>
          <w:tcPr>
            <w:tcW w:w="4553" w:type="dxa"/>
          </w:tcPr>
          <w:p w:rsidR="00DC6F18" w:rsidRDefault="00DC6F18" w:rsidP="00DC6F18">
            <w:r>
              <w:t>The authors claim: "Site specific case study, have reported that drip irrigation even in the 50% of the sugar beets irrigation</w:t>
            </w:r>
          </w:p>
          <w:p w:rsidR="00DC6F18" w:rsidRDefault="00DC6F18" w:rsidP="00DC6F18">
            <w:r>
              <w:t>needs in South Italy gives higher production</w:t>
            </w:r>
          </w:p>
          <w:p w:rsidR="00DC6F18" w:rsidRDefault="00DC6F18" w:rsidP="00DC6F18">
            <w:r>
              <w:t>compared to 100% sprinkler irrigation "</w:t>
            </w:r>
          </w:p>
          <w:p w:rsidR="006A1464" w:rsidRDefault="00DC6F18" w:rsidP="00DC6F18">
            <w:r>
              <w:t>Here we need more details</w:t>
            </w:r>
          </w:p>
        </w:tc>
        <w:tc>
          <w:tcPr>
            <w:tcW w:w="4553" w:type="dxa"/>
          </w:tcPr>
          <w:p w:rsidR="006A1464" w:rsidRDefault="720C0EAE" w:rsidP="00EB1AB3">
            <w:r>
              <w:t>More details have been added.</w:t>
            </w:r>
          </w:p>
        </w:tc>
        <w:tc>
          <w:tcPr>
            <w:tcW w:w="4554" w:type="dxa"/>
          </w:tcPr>
          <w:p w:rsidR="006A1464" w:rsidRDefault="720C0EAE" w:rsidP="00EB1AB3">
            <w:r>
              <w:t>The sentence has been edited:</w:t>
            </w:r>
          </w:p>
          <w:p w:rsidR="006A1464" w:rsidRDefault="6F91BBE5" w:rsidP="70B62DEE">
            <w:r w:rsidRPr="6F91BBE5">
              <w:rPr>
                <w:rFonts w:ascii="Times New Roman" w:eastAsia="Times New Roman" w:hAnsi="Times New Roman" w:cs="Times New Roman"/>
                <w:color w:val="000000" w:themeColor="text1"/>
              </w:rPr>
              <w:t>“</w:t>
            </w:r>
            <w:r w:rsidRPr="6F91BBE5">
              <w:t>Site specific case study has reported that drip irrigation of sugar beets in South Italy gives higher production compared to sprinkler irrigation. Specifically, for drip irrigation at 50% of the crops irrigation needs, sucrose production is 10.6 t/ha, while sprinkler irrigation at 100% of the crops irrigation needs results in 9.3 t/ha of sucrose production [17]</w:t>
            </w:r>
            <w:r w:rsidRPr="6F91BBE5">
              <w:rPr>
                <w:rFonts w:ascii="Times New Roman" w:eastAsia="Times New Roman" w:hAnsi="Times New Roman" w:cs="Times New Roman"/>
                <w:color w:val="000000" w:themeColor="text1"/>
              </w:rPr>
              <w:t>.”</w:t>
            </w:r>
          </w:p>
        </w:tc>
      </w:tr>
      <w:tr w:rsidR="006A1464" w:rsidTr="6965FFC8">
        <w:trPr>
          <w:trHeight w:val="264"/>
        </w:trPr>
        <w:tc>
          <w:tcPr>
            <w:tcW w:w="4553" w:type="dxa"/>
          </w:tcPr>
          <w:p w:rsidR="006A1464" w:rsidRDefault="00DF5F8A" w:rsidP="00EB1AB3">
            <w:r>
              <w:t xml:space="preserve">The polynomial in the equation (2.1) cannot be a charachteristic polynomial of System S.1 </w:t>
            </w:r>
            <w:r>
              <w:br/>
              <w:t>The feedback control leads to an unstable system. Please, try to factorize the denominator of the equation (3.1) instead.</w:t>
            </w:r>
          </w:p>
        </w:tc>
        <w:tc>
          <w:tcPr>
            <w:tcW w:w="4553" w:type="dxa"/>
          </w:tcPr>
          <w:p w:rsidR="006A1464" w:rsidRDefault="0014184D" w:rsidP="00EB1AB3">
            <w:r>
              <w:t>Additional</w:t>
            </w:r>
            <w:r w:rsidR="720C0EAE">
              <w:t xml:space="preserve"> </w:t>
            </w:r>
            <w:r>
              <w:t>analysis</w:t>
            </w:r>
            <w:r w:rsidR="720C0EAE">
              <w:t xml:space="preserve"> </w:t>
            </w:r>
            <w:r>
              <w:rPr>
                <w:lang w:val="en-US"/>
              </w:rPr>
              <w:t>has</w:t>
            </w:r>
            <w:r w:rsidR="00FF3D11">
              <w:rPr>
                <w:lang w:val="en-US"/>
              </w:rPr>
              <w:t xml:space="preserve"> been</w:t>
            </w:r>
            <w:r w:rsidR="720C0EAE">
              <w:t xml:space="preserve"> added, where available.</w:t>
            </w:r>
          </w:p>
        </w:tc>
        <w:tc>
          <w:tcPr>
            <w:tcW w:w="4554" w:type="dxa"/>
          </w:tcPr>
          <w:p w:rsidR="006A1464" w:rsidRDefault="00B662B5" w:rsidP="720C0EAE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Addition</w:t>
            </w:r>
            <w:r w:rsidR="720C0EAE">
              <w:t xml:space="preserve"> of Table 2. (Examples of surface …), consisted of indicative data regarding rivers runoff</w:t>
            </w:r>
          </w:p>
          <w:p w:rsidR="006A1464" w:rsidRDefault="00B662B5" w:rsidP="70B62DEE">
            <w:pPr>
              <w:pStyle w:val="ListParagraph"/>
              <w:numPr>
                <w:ilvl w:val="0"/>
                <w:numId w:val="3"/>
              </w:numPr>
            </w:pPr>
            <w:r>
              <w:t>Addition</w:t>
            </w:r>
            <w:r w:rsidR="6F91BBE5">
              <w:t xml:space="preserve"> of Table 3. (Public networks...), where data about water transferring infrastructure is presented.</w:t>
            </w:r>
          </w:p>
          <w:p w:rsidR="006A1464" w:rsidRDefault="6F91BBE5" w:rsidP="70B62DEE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 xml:space="preserve">The paragraph “In the TRBD about 78.3% of irrigation … operated </w:t>
            </w:r>
            <w:r>
              <w:lastRenderedPageBreak/>
              <w:t>pressured pipes results in 10% losses.” has been broken down in two paragraphs, one presenting the available data regarding water transferring and the second about irrigation water application.</w:t>
            </w:r>
          </w:p>
        </w:tc>
      </w:tr>
      <w:tr w:rsidR="00DC6F18" w:rsidTr="6965FFC8">
        <w:trPr>
          <w:trHeight w:val="264"/>
        </w:trPr>
        <w:tc>
          <w:tcPr>
            <w:tcW w:w="4553" w:type="dxa"/>
          </w:tcPr>
          <w:p w:rsidR="00DC6F18" w:rsidRPr="00DC6F18" w:rsidRDefault="00DC6F18" w:rsidP="00EB1AB3">
            <w:r w:rsidRPr="00DC6F18">
              <w:lastRenderedPageBreak/>
              <w:t>Very good methodology, but the authors must include more statistics</w:t>
            </w:r>
            <w:r w:rsidR="00DF5F8A">
              <w:t>. Can you justify the results with Chi-Square test?</w:t>
            </w:r>
          </w:p>
        </w:tc>
        <w:tc>
          <w:tcPr>
            <w:tcW w:w="4553" w:type="dxa"/>
          </w:tcPr>
          <w:p w:rsidR="00DC6F18" w:rsidRDefault="720C0EAE" w:rsidP="00EB1AB3">
            <w:r>
              <w:t xml:space="preserve">Methodology was revised, in order to become more comprehensive and detailed. </w:t>
            </w:r>
            <w:r w:rsidR="00DF5F8A">
              <w:t xml:space="preserve"> We have included Chi-Square test</w:t>
            </w:r>
          </w:p>
        </w:tc>
        <w:tc>
          <w:tcPr>
            <w:tcW w:w="4554" w:type="dxa"/>
          </w:tcPr>
          <w:p w:rsidR="00DC6F18" w:rsidRDefault="720C0EAE" w:rsidP="00EB1AB3">
            <w:r>
              <w:t>Addition of statistics;</w:t>
            </w:r>
          </w:p>
          <w:p w:rsidR="00DF5F8A" w:rsidRDefault="00DF5F8A" w:rsidP="00EB1AB3">
            <w:r>
              <w:t>We have included Chi-Square test</w:t>
            </w:r>
          </w:p>
          <w:p w:rsidR="00DC6F18" w:rsidRDefault="6965FFC8" w:rsidP="2357A34D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t>Section 2.1: Addition of statistics regarding the status of water bodies, ex. “...quantitative pressure is found high in 8/72 (11%) ...”</w:t>
            </w:r>
          </w:p>
          <w:p w:rsidR="00DC6F18" w:rsidRDefault="2357A34D" w:rsidP="2357A34D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t>Section 2.2: Fig. 2</w:t>
            </w:r>
          </w:p>
          <w:p w:rsidR="00DF5F8A" w:rsidRDefault="00DF5F8A" w:rsidP="2357A34D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t>We have included Chi-Square test</w:t>
            </w:r>
          </w:p>
        </w:tc>
      </w:tr>
      <w:tr w:rsidR="00DC6F18" w:rsidTr="6965FFC8">
        <w:trPr>
          <w:trHeight w:val="264"/>
        </w:trPr>
        <w:tc>
          <w:tcPr>
            <w:tcW w:w="4553" w:type="dxa"/>
          </w:tcPr>
          <w:p w:rsidR="00DC6F18" w:rsidRPr="00C6310F" w:rsidRDefault="720C0EAE" w:rsidP="720C0EAE">
            <w:r w:rsidRPr="00C6310F">
              <w:t>Too many suggestions have been given and has been accommodated re-editing and compliance is required</w:t>
            </w:r>
          </w:p>
        </w:tc>
        <w:tc>
          <w:tcPr>
            <w:tcW w:w="4553" w:type="dxa"/>
          </w:tcPr>
          <w:p w:rsidR="00DC6F18" w:rsidRDefault="003C66A5" w:rsidP="00EB1AB3">
            <w:r>
              <w:t>Special focus has been given in the conclusions future</w:t>
            </w:r>
            <w:r w:rsidR="00A61FD9">
              <w:t xml:space="preserve"> research sections with short term water saving measures</w:t>
            </w:r>
            <w:r w:rsidR="00825F7B">
              <w:t xml:space="preserve"> as priority</w:t>
            </w:r>
          </w:p>
        </w:tc>
        <w:tc>
          <w:tcPr>
            <w:tcW w:w="4554" w:type="dxa"/>
          </w:tcPr>
          <w:p w:rsidR="00DF5F8A" w:rsidRPr="00DF5F8A" w:rsidRDefault="00DF5F8A" w:rsidP="00DF5F8A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t>Section 2.2: Statistics for the water transferring and application, ex. “Application losses for the areas irrigated from the authorities range from 16.63% to 21.39%, averaging 19.09% of irrigation needs”</w:t>
            </w:r>
          </w:p>
          <w:p w:rsidR="00DC6F18" w:rsidRDefault="00DC6F18" w:rsidP="00EB1AB3"/>
        </w:tc>
      </w:tr>
      <w:tr w:rsidR="00DF5F8A" w:rsidTr="004C5493">
        <w:trPr>
          <w:trHeight w:val="611"/>
        </w:trPr>
        <w:tc>
          <w:tcPr>
            <w:tcW w:w="4553" w:type="dxa"/>
          </w:tcPr>
          <w:p w:rsidR="00DF5F8A" w:rsidRDefault="00DF5F8A" w:rsidP="00DF5F8A">
            <w:r>
              <w:t>By calculating the integral 7.1, we see that there is strong numerical instability. How can you explain it?</w:t>
            </w:r>
          </w:p>
        </w:tc>
        <w:tc>
          <w:tcPr>
            <w:tcW w:w="4553" w:type="dxa"/>
          </w:tcPr>
          <w:p w:rsidR="00DF5F8A" w:rsidRDefault="00DF5F8A" w:rsidP="00DF5F8A">
            <w:r>
              <w:t>The reviewer is right. We calculate the integral 7.1 again using Fast Fourier Transform</w:t>
            </w:r>
          </w:p>
        </w:tc>
        <w:tc>
          <w:tcPr>
            <w:tcW w:w="4554" w:type="dxa"/>
          </w:tcPr>
          <w:p w:rsidR="00DF5F8A" w:rsidRDefault="00DF5F8A" w:rsidP="004C5493">
            <w:r>
              <w:t>We calculated the integral 7.1 again using Fast Fourier Transform</w:t>
            </w:r>
          </w:p>
        </w:tc>
      </w:tr>
      <w:tr w:rsidR="00EA30C1" w:rsidTr="004C5493">
        <w:trPr>
          <w:trHeight w:val="611"/>
        </w:trPr>
        <w:tc>
          <w:tcPr>
            <w:tcW w:w="4553" w:type="dxa"/>
          </w:tcPr>
          <w:p w:rsidR="00EA30C1" w:rsidRDefault="00EA30C1" w:rsidP="00EA30C1">
            <w:r>
              <w:t xml:space="preserve">The Finite Differences Scheme that the authors use is not better than the Finite Differences Scheme in [21].  </w:t>
            </w:r>
          </w:p>
        </w:tc>
        <w:tc>
          <w:tcPr>
            <w:tcW w:w="4553" w:type="dxa"/>
          </w:tcPr>
          <w:p w:rsidR="00EA30C1" w:rsidRDefault="00EA30C1" w:rsidP="004C5493">
            <w:r>
              <w:t>Actually our Finite Differences Scheme is better because....</w:t>
            </w:r>
          </w:p>
        </w:tc>
        <w:tc>
          <w:tcPr>
            <w:tcW w:w="4554" w:type="dxa"/>
          </w:tcPr>
          <w:p w:rsidR="00EA30C1" w:rsidRDefault="00EA30C1" w:rsidP="004C5493">
            <w:r>
              <w:t>A new paragraph has been added after Theorem 3.1</w:t>
            </w:r>
          </w:p>
        </w:tc>
      </w:tr>
    </w:tbl>
    <w:p w:rsidR="00EA30C1" w:rsidRDefault="00EA30C1" w:rsidP="00EA30C1"/>
    <w:p w:rsidR="00EA30C1" w:rsidRDefault="00EA30C1" w:rsidP="00EA30C1"/>
    <w:p w:rsidR="00EA30C1" w:rsidRDefault="00EA30C1" w:rsidP="00EA30C1">
      <w:r>
        <w:br w:type="page"/>
      </w:r>
    </w:p>
    <w:p w:rsidR="00DF5F8A" w:rsidRPr="00DA5112" w:rsidRDefault="00DF5F8A" w:rsidP="00DF5F8A">
      <w:pPr>
        <w:rPr>
          <w:b/>
          <w:bCs/>
        </w:rPr>
      </w:pPr>
      <w:r>
        <w:rPr>
          <w:b/>
          <w:bCs/>
        </w:rPr>
        <w:lastRenderedPageBreak/>
        <w:t>Reviewer</w:t>
      </w:r>
      <w:r w:rsidR="00CB2617">
        <w:rPr>
          <w:b/>
          <w:bCs/>
        </w:rPr>
        <w:t xml:space="preserve"> #2</w:t>
      </w:r>
    </w:p>
    <w:p w:rsidR="00DF5F8A" w:rsidRDefault="00CB2617" w:rsidP="00DF5F8A">
      <w:r>
        <w:t>Please, add a</w:t>
      </w:r>
      <w:r w:rsidR="00DF5F8A">
        <w:t xml:space="preserve"> similar table for</w:t>
      </w:r>
      <w:r>
        <w:t xml:space="preserve"> the </w:t>
      </w:r>
      <w:r>
        <w:rPr>
          <w:b/>
          <w:bCs/>
        </w:rPr>
        <w:t>Reviewer's #2</w:t>
      </w:r>
      <w:r w:rsidRPr="006A1464">
        <w:rPr>
          <w:b/>
          <w:bCs/>
        </w:rPr>
        <w:t xml:space="preserve"> comment</w:t>
      </w:r>
      <w:r>
        <w:rPr>
          <w:b/>
          <w:bCs/>
        </w:rPr>
        <w:t xml:space="preserve">s, </w:t>
      </w:r>
      <w:r w:rsidRPr="006A1464">
        <w:rPr>
          <w:b/>
          <w:bCs/>
        </w:rPr>
        <w:t>Authors response</w:t>
      </w:r>
      <w:r>
        <w:rPr>
          <w:b/>
          <w:bCs/>
        </w:rPr>
        <w:t>s,</w:t>
      </w:r>
      <w:r w:rsidRPr="00CB2617">
        <w:rPr>
          <w:b/>
          <w:bCs/>
        </w:rPr>
        <w:t xml:space="preserve"> </w:t>
      </w:r>
      <w:r w:rsidRPr="006A1464">
        <w:rPr>
          <w:b/>
          <w:bCs/>
        </w:rPr>
        <w:t>Action</w:t>
      </w:r>
      <w:r>
        <w:rPr>
          <w:b/>
          <w:bCs/>
        </w:rPr>
        <w:t>s</w:t>
      </w:r>
      <w:r w:rsidRPr="006A1464">
        <w:rPr>
          <w:b/>
          <w:bCs/>
        </w:rPr>
        <w:t xml:space="preserve"> Taken</w:t>
      </w:r>
    </w:p>
    <w:p w:rsidR="001274ED" w:rsidRDefault="001274ED" w:rsidP="00EB1AB3"/>
    <w:p w:rsidR="00CB2617" w:rsidRPr="00DA5112" w:rsidRDefault="00CB2617" w:rsidP="00CB2617">
      <w:pPr>
        <w:rPr>
          <w:b/>
          <w:bCs/>
        </w:rPr>
      </w:pPr>
      <w:r>
        <w:rPr>
          <w:b/>
          <w:bCs/>
        </w:rPr>
        <w:t>Reviewer #3</w:t>
      </w:r>
    </w:p>
    <w:p w:rsidR="00CB2617" w:rsidRDefault="00CB2617" w:rsidP="00CB2617">
      <w:r>
        <w:t xml:space="preserve">Please, add a similar table for the </w:t>
      </w:r>
      <w:r>
        <w:rPr>
          <w:b/>
          <w:bCs/>
        </w:rPr>
        <w:t>Reviewer's #2</w:t>
      </w:r>
      <w:r w:rsidRPr="006A1464">
        <w:rPr>
          <w:b/>
          <w:bCs/>
        </w:rPr>
        <w:t xml:space="preserve"> comment</w:t>
      </w:r>
      <w:r>
        <w:rPr>
          <w:b/>
          <w:bCs/>
        </w:rPr>
        <w:t xml:space="preserve">s, </w:t>
      </w:r>
      <w:r w:rsidRPr="006A1464">
        <w:rPr>
          <w:b/>
          <w:bCs/>
        </w:rPr>
        <w:t>Authors response</w:t>
      </w:r>
      <w:r>
        <w:rPr>
          <w:b/>
          <w:bCs/>
        </w:rPr>
        <w:t>s,</w:t>
      </w:r>
      <w:r w:rsidRPr="00CB2617">
        <w:rPr>
          <w:b/>
          <w:bCs/>
        </w:rPr>
        <w:t xml:space="preserve"> </w:t>
      </w:r>
      <w:r w:rsidRPr="006A1464">
        <w:rPr>
          <w:b/>
          <w:bCs/>
        </w:rPr>
        <w:t>Action</w:t>
      </w:r>
      <w:r>
        <w:rPr>
          <w:b/>
          <w:bCs/>
        </w:rPr>
        <w:t>s</w:t>
      </w:r>
      <w:r w:rsidRPr="006A1464">
        <w:rPr>
          <w:b/>
          <w:bCs/>
        </w:rPr>
        <w:t xml:space="preserve"> Taken</w:t>
      </w:r>
    </w:p>
    <w:p w:rsidR="00DF5F8A" w:rsidRDefault="0010567C" w:rsidP="00DF5F8A">
      <w:r>
        <w:t>.</w:t>
      </w:r>
    </w:p>
    <w:p w:rsidR="0010567C" w:rsidRDefault="0010567C" w:rsidP="00DF5F8A">
      <w:r>
        <w:t>.</w:t>
      </w:r>
    </w:p>
    <w:p w:rsidR="0010567C" w:rsidRDefault="0010567C" w:rsidP="00DF5F8A">
      <w:r>
        <w:t>.|</w:t>
      </w:r>
    </w:p>
    <w:p w:rsidR="0010567C" w:rsidRPr="00DA5112" w:rsidRDefault="0010567C" w:rsidP="0010567C">
      <w:pPr>
        <w:rPr>
          <w:b/>
          <w:bCs/>
        </w:rPr>
      </w:pPr>
      <w:r>
        <w:rPr>
          <w:b/>
          <w:bCs/>
        </w:rPr>
        <w:t>Reviewer #n</w:t>
      </w:r>
    </w:p>
    <w:p w:rsidR="0010567C" w:rsidRDefault="0010567C" w:rsidP="0010567C">
      <w:r>
        <w:t xml:space="preserve">Please, add a similar table for the </w:t>
      </w:r>
      <w:r>
        <w:rPr>
          <w:b/>
          <w:bCs/>
        </w:rPr>
        <w:t xml:space="preserve">Reviewer's #n </w:t>
      </w:r>
      <w:r w:rsidRPr="006A1464">
        <w:rPr>
          <w:b/>
          <w:bCs/>
        </w:rPr>
        <w:t xml:space="preserve"> comment</w:t>
      </w:r>
      <w:r>
        <w:rPr>
          <w:b/>
          <w:bCs/>
        </w:rPr>
        <w:t xml:space="preserve">s, </w:t>
      </w:r>
      <w:r w:rsidRPr="006A1464">
        <w:rPr>
          <w:b/>
          <w:bCs/>
        </w:rPr>
        <w:t>Authors response</w:t>
      </w:r>
      <w:r>
        <w:rPr>
          <w:b/>
          <w:bCs/>
        </w:rPr>
        <w:t>s,</w:t>
      </w:r>
      <w:r w:rsidRPr="00CB2617">
        <w:rPr>
          <w:b/>
          <w:bCs/>
        </w:rPr>
        <w:t xml:space="preserve"> </w:t>
      </w:r>
      <w:r w:rsidRPr="006A1464">
        <w:rPr>
          <w:b/>
          <w:bCs/>
        </w:rPr>
        <w:t>Action</w:t>
      </w:r>
      <w:r>
        <w:rPr>
          <w:b/>
          <w:bCs/>
        </w:rPr>
        <w:t>s</w:t>
      </w:r>
      <w:r w:rsidRPr="006A1464">
        <w:rPr>
          <w:b/>
          <w:bCs/>
        </w:rPr>
        <w:t xml:space="preserve"> Taken</w:t>
      </w:r>
    </w:p>
    <w:p w:rsidR="00DF5F8A" w:rsidRDefault="00DF5F8A" w:rsidP="00EB1AB3"/>
    <w:sectPr w:rsidR="00DF5F8A" w:rsidSect="009E15F7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38A"/>
    <w:multiLevelType w:val="hybridMultilevel"/>
    <w:tmpl w:val="D1CABF72"/>
    <w:lvl w:ilvl="0" w:tplc="1E667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E8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21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82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9A6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ECF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A6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4E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2F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51F41"/>
    <w:multiLevelType w:val="hybridMultilevel"/>
    <w:tmpl w:val="FFFFFFFF"/>
    <w:lvl w:ilvl="0" w:tplc="83806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A9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6E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41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6C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2D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EB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65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88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73A4C"/>
    <w:multiLevelType w:val="multilevel"/>
    <w:tmpl w:val="54C6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>
    <w:nsid w:val="54D81786"/>
    <w:multiLevelType w:val="multilevel"/>
    <w:tmpl w:val="23AE2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>
    <w:nsid w:val="58B32043"/>
    <w:multiLevelType w:val="hybridMultilevel"/>
    <w:tmpl w:val="FFFFFFFF"/>
    <w:lvl w:ilvl="0" w:tplc="AE884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48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6C9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0F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60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FEC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28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588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041C3"/>
    <w:multiLevelType w:val="hybridMultilevel"/>
    <w:tmpl w:val="2620168C"/>
    <w:lvl w:ilvl="0" w:tplc="5FE0A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6A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4A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EB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C6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0B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CB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88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83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20"/>
  <w:characterSpacingControl w:val="doNotCompress"/>
  <w:compat/>
  <w:rsids>
    <w:rsidRoot w:val="00EB1AB3"/>
    <w:rsid w:val="000132F8"/>
    <w:rsid w:val="000829C5"/>
    <w:rsid w:val="0009612D"/>
    <w:rsid w:val="000B0551"/>
    <w:rsid w:val="000E5962"/>
    <w:rsid w:val="0010567C"/>
    <w:rsid w:val="001274ED"/>
    <w:rsid w:val="0014184D"/>
    <w:rsid w:val="001A184F"/>
    <w:rsid w:val="001E718B"/>
    <w:rsid w:val="001F6B06"/>
    <w:rsid w:val="00214F11"/>
    <w:rsid w:val="002265F5"/>
    <w:rsid w:val="00245C25"/>
    <w:rsid w:val="00266BF4"/>
    <w:rsid w:val="00290012"/>
    <w:rsid w:val="0032351F"/>
    <w:rsid w:val="003317CE"/>
    <w:rsid w:val="00336201"/>
    <w:rsid w:val="00346B73"/>
    <w:rsid w:val="00387246"/>
    <w:rsid w:val="00391092"/>
    <w:rsid w:val="003C66A5"/>
    <w:rsid w:val="003F1863"/>
    <w:rsid w:val="003F439D"/>
    <w:rsid w:val="00423F81"/>
    <w:rsid w:val="00537C5B"/>
    <w:rsid w:val="0055089F"/>
    <w:rsid w:val="005675F3"/>
    <w:rsid w:val="00571841"/>
    <w:rsid w:val="00576C65"/>
    <w:rsid w:val="005817D1"/>
    <w:rsid w:val="005A341D"/>
    <w:rsid w:val="005B419B"/>
    <w:rsid w:val="00641DC8"/>
    <w:rsid w:val="00666C6F"/>
    <w:rsid w:val="006A1464"/>
    <w:rsid w:val="006A54EB"/>
    <w:rsid w:val="0071398C"/>
    <w:rsid w:val="007320BC"/>
    <w:rsid w:val="00784EFB"/>
    <w:rsid w:val="00786F2F"/>
    <w:rsid w:val="007C0AE0"/>
    <w:rsid w:val="007D246B"/>
    <w:rsid w:val="00825095"/>
    <w:rsid w:val="00825F7B"/>
    <w:rsid w:val="008E2479"/>
    <w:rsid w:val="00956EA3"/>
    <w:rsid w:val="009A5A08"/>
    <w:rsid w:val="009D37CF"/>
    <w:rsid w:val="009E15F7"/>
    <w:rsid w:val="00A01280"/>
    <w:rsid w:val="00A27F33"/>
    <w:rsid w:val="00A47F4A"/>
    <w:rsid w:val="00A61FD9"/>
    <w:rsid w:val="00AB3218"/>
    <w:rsid w:val="00AB33EF"/>
    <w:rsid w:val="00AF7F68"/>
    <w:rsid w:val="00B135B8"/>
    <w:rsid w:val="00B329DB"/>
    <w:rsid w:val="00B662B5"/>
    <w:rsid w:val="00BD52C6"/>
    <w:rsid w:val="00C26524"/>
    <w:rsid w:val="00C6310F"/>
    <w:rsid w:val="00C761E1"/>
    <w:rsid w:val="00CA0625"/>
    <w:rsid w:val="00CB2617"/>
    <w:rsid w:val="00CB7A13"/>
    <w:rsid w:val="00CE1199"/>
    <w:rsid w:val="00D07332"/>
    <w:rsid w:val="00D359F9"/>
    <w:rsid w:val="00D52D7D"/>
    <w:rsid w:val="00D77300"/>
    <w:rsid w:val="00DA5112"/>
    <w:rsid w:val="00DC6F18"/>
    <w:rsid w:val="00DF5F8A"/>
    <w:rsid w:val="00E25312"/>
    <w:rsid w:val="00E54AEF"/>
    <w:rsid w:val="00E630F1"/>
    <w:rsid w:val="00E73DF6"/>
    <w:rsid w:val="00E871F2"/>
    <w:rsid w:val="00EA0637"/>
    <w:rsid w:val="00EA30C1"/>
    <w:rsid w:val="00EB1AB3"/>
    <w:rsid w:val="00ED0F24"/>
    <w:rsid w:val="00F0184F"/>
    <w:rsid w:val="00F03012"/>
    <w:rsid w:val="00F22B67"/>
    <w:rsid w:val="00F705BB"/>
    <w:rsid w:val="00F8773C"/>
    <w:rsid w:val="00FB10AF"/>
    <w:rsid w:val="00FF3D11"/>
    <w:rsid w:val="15FFAE45"/>
    <w:rsid w:val="2357A34D"/>
    <w:rsid w:val="3D2B1988"/>
    <w:rsid w:val="6965FFC8"/>
    <w:rsid w:val="6F91BBE5"/>
    <w:rsid w:val="70B62DEE"/>
    <w:rsid w:val="720C0EAE"/>
    <w:rsid w:val="7BE92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2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112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BD5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62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26524"/>
    <w:pPr>
      <w:spacing w:after="0" w:line="240" w:lineRule="auto"/>
    </w:pPr>
    <w:rPr>
      <w:rFonts w:ascii="Consolas" w:hAnsi="Consolas" w:cs="Consolas"/>
      <w:sz w:val="21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C26524"/>
    <w:rPr>
      <w:rFonts w:ascii="Consolas" w:hAnsi="Consolas" w:cs="Consolas"/>
      <w:sz w:val="21"/>
      <w:szCs w:val="21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112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BD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635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Bariamis</dc:creator>
  <cp:lastModifiedBy>Mastor</cp:lastModifiedBy>
  <cp:revision>16</cp:revision>
  <dcterms:created xsi:type="dcterms:W3CDTF">2020-05-14T16:14:00Z</dcterms:created>
  <dcterms:modified xsi:type="dcterms:W3CDTF">2020-05-14T16:22:00Z</dcterms:modified>
</cp:coreProperties>
</file>